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806E" w14:textId="58BB1052" w:rsidR="00644E0F" w:rsidRPr="000B3596" w:rsidRDefault="00732814" w:rsidP="00732814">
      <w:pPr>
        <w:tabs>
          <w:tab w:val="num" w:pos="720"/>
        </w:tabs>
        <w:ind w:left="360" w:hanging="360"/>
        <w:rPr>
          <w:sz w:val="28"/>
          <w:szCs w:val="28"/>
        </w:rPr>
      </w:pPr>
      <w:r>
        <w:rPr>
          <w:sz w:val="28"/>
          <w:szCs w:val="28"/>
        </w:rPr>
        <w:tab/>
      </w:r>
      <w:r w:rsidR="000B3596" w:rsidRPr="000B3596">
        <w:rPr>
          <w:sz w:val="28"/>
          <w:szCs w:val="28"/>
        </w:rPr>
        <w:t>Principles regarding the transition to the new sewerage adoption regime</w:t>
      </w:r>
    </w:p>
    <w:p w14:paraId="0DC8F754" w14:textId="5877BA48" w:rsidR="000B3596" w:rsidRDefault="000B3596" w:rsidP="00644E0F">
      <w:pPr>
        <w:tabs>
          <w:tab w:val="num" w:pos="720"/>
        </w:tabs>
        <w:ind w:left="720" w:hanging="360"/>
      </w:pPr>
    </w:p>
    <w:p w14:paraId="04324908" w14:textId="59FC460B" w:rsidR="000B3596" w:rsidRPr="00732814" w:rsidRDefault="000B3596" w:rsidP="00644E0F">
      <w:pPr>
        <w:tabs>
          <w:tab w:val="num" w:pos="720"/>
        </w:tabs>
        <w:ind w:left="720" w:hanging="360"/>
        <w:rPr>
          <w:b/>
        </w:rPr>
      </w:pPr>
      <w:r w:rsidRPr="00732814">
        <w:rPr>
          <w:b/>
        </w:rPr>
        <w:t>Introduction</w:t>
      </w:r>
    </w:p>
    <w:p w14:paraId="3E1805F6" w14:textId="3AA992C6" w:rsidR="000B3596" w:rsidRDefault="000B3596" w:rsidP="00644E0F">
      <w:pPr>
        <w:tabs>
          <w:tab w:val="num" w:pos="720"/>
        </w:tabs>
        <w:ind w:left="720" w:hanging="360"/>
      </w:pPr>
    </w:p>
    <w:p w14:paraId="167078B2" w14:textId="073A589A" w:rsidR="000B3596" w:rsidRDefault="00873E05" w:rsidP="00873E05">
      <w:pPr>
        <w:tabs>
          <w:tab w:val="num" w:pos="720"/>
        </w:tabs>
        <w:ind w:left="360" w:hanging="360"/>
      </w:pPr>
      <w:r>
        <w:tab/>
      </w:r>
      <w:r w:rsidR="000B3596">
        <w:t>Ofwat has set 1 April 2020 as the date on which the Sewerage Sector Guidance (SSG) and related</w:t>
      </w:r>
      <w:r>
        <w:t xml:space="preserve"> </w:t>
      </w:r>
      <w:r w:rsidR="000B3596">
        <w:t>documents will come into force.  The SSG has been prepared to meet the requirements of Ofwat’s Code for Adoption Agreements.</w:t>
      </w:r>
      <w:r w:rsidR="00732814">
        <w:t xml:space="preserve">  The</w:t>
      </w:r>
      <w:r w:rsidR="00EE498F">
        <w:t xml:space="preserve"> SSG and related </w:t>
      </w:r>
      <w:r w:rsidR="00732814">
        <w:t xml:space="preserve">documentation can be found </w:t>
      </w:r>
      <w:hyperlink r:id="rId8" w:history="1">
        <w:r w:rsidR="00732814" w:rsidRPr="00732814">
          <w:rPr>
            <w:rStyle w:val="Hyperlink"/>
          </w:rPr>
          <w:t>here</w:t>
        </w:r>
      </w:hyperlink>
    </w:p>
    <w:p w14:paraId="75598AAA" w14:textId="07299465" w:rsidR="000B3596" w:rsidRDefault="000B3596" w:rsidP="00873E05">
      <w:pPr>
        <w:tabs>
          <w:tab w:val="num" w:pos="720"/>
        </w:tabs>
        <w:ind w:left="360" w:hanging="360"/>
      </w:pPr>
    </w:p>
    <w:p w14:paraId="612EAB40" w14:textId="6C36131C" w:rsidR="000B3596" w:rsidRDefault="00873E05" w:rsidP="00873E05">
      <w:pPr>
        <w:tabs>
          <w:tab w:val="num" w:pos="720"/>
        </w:tabs>
        <w:ind w:left="360" w:hanging="360"/>
      </w:pPr>
      <w:r>
        <w:tab/>
        <w:t xml:space="preserve">The Code itself merely says the SSG will apply to all new pre-development enquiries and applications after the commencement date and that applications submitted before that date may </w:t>
      </w:r>
      <w:r w:rsidRPr="00EE5A88">
        <w:rPr>
          <w:i/>
          <w:iCs/>
        </w:rPr>
        <w:t>by agreement</w:t>
      </w:r>
      <w:r>
        <w:t xml:space="preserve"> </w:t>
      </w:r>
      <w:r w:rsidR="00F5254D">
        <w:t xml:space="preserve">(our emphasis) </w:t>
      </w:r>
      <w:r>
        <w:t>be dealt with under the new arrangements (see para B1.4 and 1.5 of the Code)</w:t>
      </w:r>
    </w:p>
    <w:p w14:paraId="75DAD3BA" w14:textId="66F96AE6" w:rsidR="00873E05" w:rsidRDefault="00873E05" w:rsidP="00644E0F">
      <w:pPr>
        <w:tabs>
          <w:tab w:val="num" w:pos="720"/>
        </w:tabs>
        <w:ind w:left="720" w:hanging="360"/>
      </w:pPr>
    </w:p>
    <w:p w14:paraId="625A78C5" w14:textId="3DD0D216" w:rsidR="00873E05" w:rsidRDefault="00873E05" w:rsidP="00644E0F">
      <w:pPr>
        <w:tabs>
          <w:tab w:val="num" w:pos="720"/>
        </w:tabs>
        <w:ind w:left="720" w:hanging="360"/>
      </w:pPr>
      <w:r>
        <w:t xml:space="preserve">The code does not therefore address a number of </w:t>
      </w:r>
      <w:proofErr w:type="gramStart"/>
      <w:r>
        <w:t>commonly-encountered</w:t>
      </w:r>
      <w:proofErr w:type="gramEnd"/>
      <w:r>
        <w:t xml:space="preserve"> situations:  </w:t>
      </w:r>
    </w:p>
    <w:p w14:paraId="53939067" w14:textId="77777777" w:rsidR="00873E05" w:rsidRDefault="00873E05" w:rsidP="00644E0F">
      <w:pPr>
        <w:tabs>
          <w:tab w:val="num" w:pos="720"/>
        </w:tabs>
        <w:ind w:left="720" w:hanging="360"/>
      </w:pPr>
    </w:p>
    <w:p w14:paraId="64B2FA2D" w14:textId="552944C0" w:rsidR="00873E05" w:rsidRDefault="00873E05" w:rsidP="00732814">
      <w:pPr>
        <w:pStyle w:val="ListBullet"/>
        <w:tabs>
          <w:tab w:val="clear" w:pos="360"/>
          <w:tab w:val="num" w:pos="720"/>
        </w:tabs>
        <w:ind w:left="720"/>
      </w:pPr>
      <w:r>
        <w:t>existing S104 agreements may be in place for many years-with works being offered for adoption both before and after the commencement date.  Will current procedures and processes apply indefinitely to adoptions after the commencement date?</w:t>
      </w:r>
    </w:p>
    <w:p w14:paraId="0986DBCA" w14:textId="50509EF2" w:rsidR="00873E05" w:rsidRDefault="00873E05" w:rsidP="00732814">
      <w:pPr>
        <w:pStyle w:val="ListBullet"/>
        <w:tabs>
          <w:tab w:val="clear" w:pos="360"/>
          <w:tab w:val="num" w:pos="720"/>
        </w:tabs>
        <w:ind w:left="720"/>
      </w:pPr>
      <w:r>
        <w:t>Schemes frequently take some years to finalise before they are presented to the</w:t>
      </w:r>
      <w:r w:rsidR="00D63E18">
        <w:t xml:space="preserve"> water and sewerage companies (WaSCs).  It would seem inequitable to require developers to revise schemes prepared before the commencement</w:t>
      </w:r>
      <w:r>
        <w:t xml:space="preserve"> </w:t>
      </w:r>
      <w:r w:rsidR="00D63E18">
        <w:t>date to meet the standards applying after that date.</w:t>
      </w:r>
      <w:r>
        <w:t xml:space="preserve"> </w:t>
      </w:r>
      <w:r w:rsidR="00D63E18">
        <w:t xml:space="preserve">  On the other hand, WaSCs have a legitimate interest in only running one set of procedures and standards and in avoiding parallel running of old and new adoption arrangements.</w:t>
      </w:r>
    </w:p>
    <w:p w14:paraId="3FEE9B95" w14:textId="3D9D2F42" w:rsidR="00D63E18" w:rsidRDefault="0A363ADD" w:rsidP="00732814">
      <w:pPr>
        <w:pStyle w:val="ListBullet"/>
        <w:tabs>
          <w:tab w:val="clear" w:pos="360"/>
          <w:tab w:val="num" w:pos="720"/>
        </w:tabs>
        <w:ind w:left="720"/>
      </w:pPr>
      <w:r>
        <w:t>a developer may wish to revise a scheme currently being prepared in order to take advantage of new approaches offered by the SSG which were not permitted by Sewers for Adoption</w:t>
      </w:r>
    </w:p>
    <w:p w14:paraId="640B28A7" w14:textId="1B2373E6" w:rsidR="00D63E18" w:rsidRDefault="00D63E18" w:rsidP="00D63E18">
      <w:pPr>
        <w:pStyle w:val="ListBullet"/>
        <w:numPr>
          <w:ilvl w:val="0"/>
          <w:numId w:val="0"/>
        </w:numPr>
        <w:ind w:left="360" w:hanging="360"/>
      </w:pPr>
    </w:p>
    <w:p w14:paraId="3A22013E" w14:textId="309454F8" w:rsidR="00D63E18" w:rsidRDefault="00D63E18" w:rsidP="00732814">
      <w:pPr>
        <w:pStyle w:val="ListBullet"/>
        <w:numPr>
          <w:ilvl w:val="0"/>
          <w:numId w:val="0"/>
        </w:numPr>
        <w:ind w:left="360"/>
      </w:pPr>
      <w:r>
        <w:t xml:space="preserve">Water companies have therefore developed </w:t>
      </w:r>
      <w:proofErr w:type="gramStart"/>
      <w:r>
        <w:t>a number of</w:t>
      </w:r>
      <w:proofErr w:type="gramEnd"/>
      <w:r>
        <w:t xml:space="preserve"> principles to </w:t>
      </w:r>
      <w:r w:rsidR="00732814">
        <w:t>guide their approach to these kinds of situations.  The application of any of these principles can be altered by agreement between the WaSC and the developer.  In each case, where an “application” is referred to, it is assumed that the application is complete and complies with the relevant requirements of the WaSC.</w:t>
      </w:r>
    </w:p>
    <w:p w14:paraId="0BC9BA7E" w14:textId="550429A5" w:rsidR="00F5254D" w:rsidRDefault="00F5254D" w:rsidP="00732814">
      <w:pPr>
        <w:pStyle w:val="ListBullet"/>
        <w:numPr>
          <w:ilvl w:val="0"/>
          <w:numId w:val="0"/>
        </w:numPr>
        <w:ind w:left="360"/>
      </w:pPr>
    </w:p>
    <w:p w14:paraId="1BBE8FC9" w14:textId="458C6B29" w:rsidR="00F5254D" w:rsidRDefault="00F5254D" w:rsidP="00732814">
      <w:pPr>
        <w:pStyle w:val="ListBullet"/>
        <w:numPr>
          <w:ilvl w:val="0"/>
          <w:numId w:val="0"/>
        </w:numPr>
        <w:ind w:left="360"/>
      </w:pPr>
      <w:r>
        <w:t xml:space="preserve">This document has been </w:t>
      </w:r>
      <w:r w:rsidR="00423CD9">
        <w:t xml:space="preserve">provided to </w:t>
      </w:r>
      <w:r w:rsidR="00866B89">
        <w:t xml:space="preserve">the </w:t>
      </w:r>
      <w:r w:rsidR="0072042E">
        <w:t xml:space="preserve">HBF and HBA before its publication.  Neither organisation has </w:t>
      </w:r>
      <w:r w:rsidR="00E40AA0">
        <w:t>raised any objection to these principles.</w:t>
      </w:r>
    </w:p>
    <w:p w14:paraId="412B67D4" w14:textId="3F773CE6" w:rsidR="00732814" w:rsidRDefault="00732814" w:rsidP="00732814">
      <w:pPr>
        <w:pStyle w:val="ListBullet"/>
        <w:numPr>
          <w:ilvl w:val="0"/>
          <w:numId w:val="0"/>
        </w:numPr>
        <w:ind w:left="360"/>
      </w:pPr>
    </w:p>
    <w:p w14:paraId="5498AE76" w14:textId="27485B2F" w:rsidR="00644E0F" w:rsidRPr="00A839D2" w:rsidRDefault="00732814" w:rsidP="00A839D2">
      <w:pPr>
        <w:pStyle w:val="ListBullet"/>
        <w:numPr>
          <w:ilvl w:val="0"/>
          <w:numId w:val="0"/>
        </w:numPr>
        <w:ind w:left="360"/>
        <w:rPr>
          <w:b/>
        </w:rPr>
      </w:pPr>
      <w:r w:rsidRPr="00732814">
        <w:rPr>
          <w:b/>
        </w:rPr>
        <w:t>Principles</w:t>
      </w:r>
    </w:p>
    <w:p w14:paraId="07C1C97E" w14:textId="23A5B62A" w:rsidR="00E7174A" w:rsidRDefault="00E7174A" w:rsidP="00E7174A">
      <w:pPr>
        <w:rPr>
          <w:rFonts w:eastAsia="Times New Roman"/>
          <w:sz w:val="24"/>
          <w:szCs w:val="24"/>
        </w:rPr>
      </w:pPr>
    </w:p>
    <w:p w14:paraId="080E6B13" w14:textId="77777777" w:rsidR="00E715DB" w:rsidRPr="007810DC" w:rsidRDefault="00E715DB" w:rsidP="00E715DB">
      <w:pPr>
        <w:ind w:left="720"/>
        <w:rPr>
          <w:rFonts w:eastAsia="Times New Roman"/>
          <w:b/>
          <w:bCs/>
          <w:sz w:val="24"/>
          <w:szCs w:val="24"/>
        </w:rPr>
      </w:pPr>
      <w:r w:rsidRPr="007810DC">
        <w:rPr>
          <w:rFonts w:eastAsia="Times New Roman"/>
          <w:b/>
          <w:bCs/>
          <w:sz w:val="24"/>
          <w:szCs w:val="24"/>
        </w:rPr>
        <w:t>Applications before 31 March 2020</w:t>
      </w:r>
    </w:p>
    <w:p w14:paraId="353EDCE4" w14:textId="77777777" w:rsidR="00E7174A" w:rsidRPr="00E7174A" w:rsidRDefault="00E7174A" w:rsidP="00E7174A">
      <w:pPr>
        <w:ind w:left="360"/>
        <w:rPr>
          <w:rFonts w:eastAsia="Times New Roman"/>
          <w:sz w:val="24"/>
          <w:szCs w:val="24"/>
        </w:rPr>
      </w:pPr>
    </w:p>
    <w:p w14:paraId="78025272" w14:textId="71AA57DF" w:rsidR="007810DC" w:rsidRPr="00761A0D" w:rsidRDefault="00D33D05" w:rsidP="00C50BD4">
      <w:pPr>
        <w:numPr>
          <w:ilvl w:val="0"/>
          <w:numId w:val="1"/>
        </w:numPr>
        <w:rPr>
          <w:rFonts w:eastAsia="Times New Roman"/>
          <w:sz w:val="24"/>
          <w:szCs w:val="24"/>
        </w:rPr>
      </w:pPr>
      <w:r w:rsidRPr="00761A0D">
        <w:rPr>
          <w:rFonts w:eastAsia="Times New Roman"/>
          <w:sz w:val="24"/>
          <w:szCs w:val="24"/>
        </w:rPr>
        <w:t xml:space="preserve">All </w:t>
      </w:r>
      <w:r w:rsidR="0096244E" w:rsidRPr="00761A0D">
        <w:rPr>
          <w:rFonts w:eastAsia="Times New Roman"/>
          <w:sz w:val="24"/>
          <w:szCs w:val="24"/>
        </w:rPr>
        <w:t xml:space="preserve">applications and </w:t>
      </w:r>
      <w:r w:rsidRPr="00761A0D">
        <w:rPr>
          <w:rFonts w:eastAsia="Times New Roman"/>
          <w:sz w:val="24"/>
          <w:szCs w:val="24"/>
        </w:rPr>
        <w:t xml:space="preserve">projects initiated before 1 April </w:t>
      </w:r>
      <w:r w:rsidR="00EE498F" w:rsidRPr="00761A0D">
        <w:rPr>
          <w:rFonts w:eastAsia="Times New Roman"/>
          <w:sz w:val="24"/>
          <w:szCs w:val="24"/>
        </w:rPr>
        <w:t>2020</w:t>
      </w:r>
      <w:r w:rsidR="000D4DF8" w:rsidRPr="00761A0D">
        <w:rPr>
          <w:rFonts w:eastAsia="Times New Roman"/>
          <w:sz w:val="24"/>
          <w:szCs w:val="24"/>
        </w:rPr>
        <w:t xml:space="preserve"> and including those designed to meet the standards in force before the </w:t>
      </w:r>
      <w:r w:rsidR="00E51E90" w:rsidRPr="00761A0D">
        <w:rPr>
          <w:rFonts w:eastAsia="Times New Roman"/>
          <w:sz w:val="24"/>
          <w:szCs w:val="24"/>
        </w:rPr>
        <w:t>implementation of the SSG</w:t>
      </w:r>
      <w:r w:rsidR="00EE498F" w:rsidRPr="00761A0D">
        <w:rPr>
          <w:rFonts w:eastAsia="Times New Roman"/>
          <w:sz w:val="24"/>
          <w:szCs w:val="24"/>
        </w:rPr>
        <w:t xml:space="preserve"> </w:t>
      </w:r>
      <w:r w:rsidRPr="00761A0D">
        <w:rPr>
          <w:rFonts w:eastAsia="Times New Roman"/>
          <w:sz w:val="24"/>
          <w:szCs w:val="24"/>
        </w:rPr>
        <w:t xml:space="preserve">will be progressed after 1 April </w:t>
      </w:r>
      <w:r w:rsidR="00EE498F" w:rsidRPr="00761A0D">
        <w:rPr>
          <w:rFonts w:eastAsia="Times New Roman"/>
          <w:sz w:val="24"/>
          <w:szCs w:val="24"/>
        </w:rPr>
        <w:t xml:space="preserve">2020 </w:t>
      </w:r>
      <w:r w:rsidRPr="00761A0D">
        <w:rPr>
          <w:rFonts w:eastAsia="Times New Roman"/>
          <w:sz w:val="24"/>
          <w:szCs w:val="24"/>
        </w:rPr>
        <w:t>using the new proce</w:t>
      </w:r>
      <w:r w:rsidR="004C0BB7" w:rsidRPr="00761A0D">
        <w:rPr>
          <w:rFonts w:eastAsia="Times New Roman"/>
          <w:sz w:val="24"/>
          <w:szCs w:val="24"/>
        </w:rPr>
        <w:t>dures</w:t>
      </w:r>
      <w:r w:rsidRPr="00761A0D">
        <w:rPr>
          <w:rFonts w:eastAsia="Times New Roman"/>
          <w:sz w:val="24"/>
          <w:szCs w:val="24"/>
        </w:rPr>
        <w:t xml:space="preserve"> where practicable</w:t>
      </w:r>
      <w:r w:rsidR="006C7B72" w:rsidRPr="00761A0D">
        <w:rPr>
          <w:rFonts w:eastAsia="Times New Roman"/>
          <w:sz w:val="24"/>
          <w:szCs w:val="24"/>
        </w:rPr>
        <w:t xml:space="preserve"> and agreed between the parties</w:t>
      </w:r>
      <w:r w:rsidR="00E20DE5" w:rsidRPr="00761A0D">
        <w:rPr>
          <w:rFonts w:eastAsia="Times New Roman"/>
          <w:sz w:val="24"/>
          <w:szCs w:val="24"/>
        </w:rPr>
        <w:t xml:space="preserve"> </w:t>
      </w:r>
    </w:p>
    <w:p w14:paraId="5628F6B2" w14:textId="77777777" w:rsidR="00B667C5" w:rsidRPr="00732814" w:rsidRDefault="00B667C5" w:rsidP="00E7174A">
      <w:pPr>
        <w:ind w:left="720"/>
        <w:rPr>
          <w:rFonts w:eastAsia="Times New Roman"/>
          <w:sz w:val="24"/>
          <w:szCs w:val="24"/>
        </w:rPr>
      </w:pPr>
    </w:p>
    <w:p w14:paraId="76389B3B" w14:textId="068E6ADE" w:rsidR="00644E0F" w:rsidRDefault="00644E0F" w:rsidP="00644E0F">
      <w:pPr>
        <w:numPr>
          <w:ilvl w:val="0"/>
          <w:numId w:val="1"/>
        </w:numPr>
        <w:rPr>
          <w:rFonts w:eastAsia="Times New Roman"/>
          <w:sz w:val="24"/>
          <w:szCs w:val="24"/>
        </w:rPr>
      </w:pPr>
      <w:r w:rsidRPr="00732814">
        <w:rPr>
          <w:rFonts w:eastAsia="Times New Roman"/>
          <w:sz w:val="24"/>
          <w:szCs w:val="24"/>
        </w:rPr>
        <w:t>All applications received up to and including 31 March</w:t>
      </w:r>
      <w:r w:rsidR="00EE498F">
        <w:rPr>
          <w:rFonts w:eastAsia="Times New Roman"/>
          <w:sz w:val="24"/>
          <w:szCs w:val="24"/>
        </w:rPr>
        <w:t xml:space="preserve"> 2020 </w:t>
      </w:r>
      <w:r w:rsidRPr="00732814">
        <w:rPr>
          <w:rFonts w:eastAsia="Times New Roman"/>
          <w:sz w:val="24"/>
          <w:szCs w:val="24"/>
        </w:rPr>
        <w:t>and designed to pre</w:t>
      </w:r>
      <w:r w:rsidR="00EE498F">
        <w:rPr>
          <w:rFonts w:eastAsia="Times New Roman"/>
          <w:sz w:val="24"/>
          <w:szCs w:val="24"/>
        </w:rPr>
        <w:t>-SSG</w:t>
      </w:r>
      <w:r w:rsidRPr="00732814">
        <w:rPr>
          <w:rFonts w:eastAsia="Times New Roman"/>
          <w:sz w:val="24"/>
          <w:szCs w:val="24"/>
        </w:rPr>
        <w:t xml:space="preserve"> standards will be accepted and processed </w:t>
      </w:r>
      <w:r w:rsidR="00EE498F">
        <w:rPr>
          <w:rFonts w:eastAsia="Times New Roman"/>
          <w:sz w:val="24"/>
          <w:szCs w:val="24"/>
        </w:rPr>
        <w:t xml:space="preserve">in accordance with the standards and </w:t>
      </w:r>
      <w:r w:rsidR="00EE498F">
        <w:rPr>
          <w:rFonts w:eastAsia="Times New Roman"/>
          <w:sz w:val="24"/>
          <w:szCs w:val="24"/>
        </w:rPr>
        <w:lastRenderedPageBreak/>
        <w:t xml:space="preserve">procedures applicable at that time, </w:t>
      </w:r>
      <w:proofErr w:type="spellStart"/>
      <w:r w:rsidR="00EE498F">
        <w:rPr>
          <w:rFonts w:eastAsia="Times New Roman"/>
          <w:sz w:val="24"/>
          <w:szCs w:val="24"/>
        </w:rPr>
        <w:t>ie</w:t>
      </w:r>
      <w:proofErr w:type="spellEnd"/>
      <w:r w:rsidR="00EE498F">
        <w:rPr>
          <w:rFonts w:eastAsia="Times New Roman"/>
          <w:sz w:val="24"/>
          <w:szCs w:val="24"/>
        </w:rPr>
        <w:t>, even where delivery and adoption are after that date</w:t>
      </w:r>
      <w:r w:rsidRPr="00732814">
        <w:rPr>
          <w:rFonts w:eastAsia="Times New Roman"/>
          <w:sz w:val="24"/>
          <w:szCs w:val="24"/>
        </w:rPr>
        <w:t xml:space="preserve">. </w:t>
      </w:r>
    </w:p>
    <w:p w14:paraId="20A67D46" w14:textId="77777777" w:rsidR="00324BB5" w:rsidRDefault="00324BB5" w:rsidP="00324BB5">
      <w:pPr>
        <w:ind w:left="720"/>
        <w:rPr>
          <w:rFonts w:eastAsia="Times New Roman"/>
          <w:sz w:val="24"/>
          <w:szCs w:val="24"/>
        </w:rPr>
      </w:pPr>
    </w:p>
    <w:p w14:paraId="5BCD0491" w14:textId="4099547D" w:rsidR="00324BB5" w:rsidRPr="00761A0D" w:rsidRDefault="00324BB5" w:rsidP="00B6038B">
      <w:pPr>
        <w:numPr>
          <w:ilvl w:val="0"/>
          <w:numId w:val="1"/>
        </w:numPr>
        <w:rPr>
          <w:rFonts w:eastAsia="Times New Roman"/>
          <w:sz w:val="24"/>
          <w:szCs w:val="24"/>
        </w:rPr>
      </w:pPr>
      <w:r w:rsidRPr="00761A0D">
        <w:rPr>
          <w:rFonts w:eastAsia="Times New Roman"/>
          <w:sz w:val="24"/>
          <w:szCs w:val="24"/>
        </w:rPr>
        <w:t>After 1 April 2020, water companies will work with any developer seeking to vary any schemes that have previously received technical approval in order to take advantage of the specifications set out in the DCG. (They will otherwise proceed under the old regime</w:t>
      </w:r>
      <w:r w:rsidR="00761A0D">
        <w:rPr>
          <w:rFonts w:eastAsia="Times New Roman"/>
          <w:sz w:val="24"/>
          <w:szCs w:val="24"/>
        </w:rPr>
        <w:t>.</w:t>
      </w:r>
      <w:r w:rsidR="00761A0D" w:rsidRPr="00761A0D">
        <w:rPr>
          <w:rFonts w:eastAsia="Times New Roman"/>
          <w:sz w:val="24"/>
          <w:szCs w:val="24"/>
        </w:rPr>
        <w:t>)</w:t>
      </w:r>
    </w:p>
    <w:p w14:paraId="73E5EFC3" w14:textId="572BF809" w:rsidR="00B667C5" w:rsidRDefault="00B667C5" w:rsidP="00B667C5">
      <w:pPr>
        <w:ind w:left="720"/>
        <w:rPr>
          <w:rFonts w:eastAsia="Times New Roman"/>
          <w:sz w:val="24"/>
          <w:szCs w:val="24"/>
        </w:rPr>
      </w:pPr>
    </w:p>
    <w:p w14:paraId="4CD75633" w14:textId="5D39943F" w:rsidR="00B667C5" w:rsidRDefault="00B667C5" w:rsidP="00B667C5">
      <w:pPr>
        <w:ind w:left="720"/>
        <w:rPr>
          <w:rFonts w:eastAsia="Times New Roman"/>
          <w:b/>
          <w:bCs/>
          <w:sz w:val="24"/>
          <w:szCs w:val="24"/>
        </w:rPr>
      </w:pPr>
      <w:r w:rsidRPr="007810DC">
        <w:rPr>
          <w:rFonts w:eastAsia="Times New Roman"/>
          <w:b/>
          <w:bCs/>
          <w:sz w:val="24"/>
          <w:szCs w:val="24"/>
        </w:rPr>
        <w:t>Applications</w:t>
      </w:r>
      <w:r w:rsidR="00E47E9A">
        <w:rPr>
          <w:rFonts w:eastAsia="Times New Roman"/>
          <w:b/>
          <w:bCs/>
          <w:sz w:val="24"/>
          <w:szCs w:val="24"/>
        </w:rPr>
        <w:t xml:space="preserve"> and enquiries</w:t>
      </w:r>
      <w:r w:rsidRPr="007810DC">
        <w:rPr>
          <w:rFonts w:eastAsia="Times New Roman"/>
          <w:b/>
          <w:bCs/>
          <w:sz w:val="24"/>
          <w:szCs w:val="24"/>
        </w:rPr>
        <w:t xml:space="preserve"> on or after 1 April 2020</w:t>
      </w:r>
    </w:p>
    <w:p w14:paraId="595A0C1D" w14:textId="6E8F908B" w:rsidR="00E47E9A" w:rsidRDefault="00E47E9A" w:rsidP="00B667C5">
      <w:pPr>
        <w:ind w:left="720"/>
        <w:rPr>
          <w:rFonts w:eastAsia="Times New Roman"/>
          <w:b/>
          <w:bCs/>
          <w:sz w:val="24"/>
          <w:szCs w:val="24"/>
        </w:rPr>
      </w:pPr>
    </w:p>
    <w:p w14:paraId="262E35BA" w14:textId="1A098179" w:rsidR="00B667C5" w:rsidRPr="005C023B" w:rsidRDefault="00E47E9A" w:rsidP="005C023B">
      <w:pPr>
        <w:pStyle w:val="ListParagraph"/>
        <w:numPr>
          <w:ilvl w:val="0"/>
          <w:numId w:val="1"/>
        </w:numPr>
        <w:rPr>
          <w:rFonts w:eastAsia="Times New Roman"/>
          <w:sz w:val="24"/>
          <w:szCs w:val="24"/>
        </w:rPr>
      </w:pPr>
      <w:r w:rsidRPr="005C023B">
        <w:rPr>
          <w:rFonts w:eastAsia="Times New Roman"/>
          <w:sz w:val="24"/>
          <w:szCs w:val="24"/>
        </w:rPr>
        <w:t>All pre-development enquiries and applications made</w:t>
      </w:r>
      <w:r w:rsidR="00BB46F6" w:rsidRPr="005C023B">
        <w:rPr>
          <w:rFonts w:eastAsia="Times New Roman"/>
          <w:sz w:val="24"/>
          <w:szCs w:val="24"/>
        </w:rPr>
        <w:t xml:space="preserve"> on or</w:t>
      </w:r>
      <w:r w:rsidRPr="005C023B">
        <w:rPr>
          <w:rFonts w:eastAsia="Times New Roman"/>
          <w:sz w:val="24"/>
          <w:szCs w:val="24"/>
        </w:rPr>
        <w:t xml:space="preserve"> after 1 April 2020 will be dealt with under the procedures of the SSG, whether or not the Design and Construction Guidance (DCG) and Model Sewerage Adoption Agreement are used.</w:t>
      </w:r>
      <w:r w:rsidR="00432E7C" w:rsidRPr="005C023B">
        <w:rPr>
          <w:rFonts w:eastAsia="Times New Roman"/>
          <w:sz w:val="24"/>
          <w:szCs w:val="24"/>
        </w:rPr>
        <w:t xml:space="preserve">  See further p</w:t>
      </w:r>
      <w:r w:rsidR="00B8211A">
        <w:rPr>
          <w:rFonts w:eastAsia="Times New Roman"/>
          <w:sz w:val="24"/>
          <w:szCs w:val="24"/>
        </w:rPr>
        <w:t>rinciples 5 and 6.</w:t>
      </w:r>
    </w:p>
    <w:p w14:paraId="4EFA4AEC" w14:textId="77777777" w:rsidR="00432E7C" w:rsidRPr="00BB46F6" w:rsidRDefault="00432E7C" w:rsidP="00432E7C">
      <w:pPr>
        <w:pStyle w:val="ListParagraph"/>
        <w:rPr>
          <w:rFonts w:eastAsia="Times New Roman"/>
          <w:sz w:val="24"/>
          <w:szCs w:val="24"/>
        </w:rPr>
      </w:pPr>
    </w:p>
    <w:p w14:paraId="2F9BB404" w14:textId="3CC140A8" w:rsidR="00432E7C" w:rsidRPr="00F363CA" w:rsidRDefault="0A363ADD" w:rsidP="00003443">
      <w:pPr>
        <w:numPr>
          <w:ilvl w:val="0"/>
          <w:numId w:val="1"/>
        </w:numPr>
        <w:rPr>
          <w:rFonts w:eastAsia="Times New Roman"/>
          <w:sz w:val="24"/>
          <w:szCs w:val="24"/>
        </w:rPr>
      </w:pPr>
      <w:r w:rsidRPr="00F363CA">
        <w:rPr>
          <w:rFonts w:eastAsia="Times New Roman"/>
          <w:sz w:val="24"/>
          <w:szCs w:val="24"/>
        </w:rPr>
        <w:t xml:space="preserve">All applications received on or after 1 April 2020 will be processed under the substantive requirements of the SSG unless the following principle applies. </w:t>
      </w:r>
    </w:p>
    <w:p w14:paraId="27E24C74" w14:textId="77777777" w:rsidR="00432E7C" w:rsidRPr="00732814" w:rsidRDefault="00432E7C" w:rsidP="00432E7C">
      <w:pPr>
        <w:ind w:left="720"/>
        <w:rPr>
          <w:rFonts w:eastAsia="Times New Roman"/>
          <w:sz w:val="24"/>
          <w:szCs w:val="24"/>
        </w:rPr>
      </w:pPr>
    </w:p>
    <w:p w14:paraId="6F66B7CC" w14:textId="55CFE8A6" w:rsidR="00644E0F" w:rsidRDefault="0A363ADD" w:rsidP="005C023B">
      <w:pPr>
        <w:numPr>
          <w:ilvl w:val="0"/>
          <w:numId w:val="1"/>
        </w:numPr>
        <w:rPr>
          <w:rFonts w:eastAsia="Times New Roman"/>
          <w:sz w:val="24"/>
          <w:szCs w:val="24"/>
        </w:rPr>
      </w:pPr>
      <w:r w:rsidRPr="0A363ADD">
        <w:rPr>
          <w:rFonts w:eastAsia="Times New Roman"/>
          <w:sz w:val="24"/>
          <w:szCs w:val="24"/>
        </w:rPr>
        <w:t>Applications received on or after 1 April 2020 and designed to the standards applicable before 1 April 2020, can continue to be accepted until 1 October 2020.</w:t>
      </w:r>
    </w:p>
    <w:p w14:paraId="241D1E78" w14:textId="607DF362" w:rsidR="00B667C5" w:rsidRDefault="00B667C5" w:rsidP="00B667C5">
      <w:pPr>
        <w:rPr>
          <w:rFonts w:eastAsia="Times New Roman"/>
          <w:sz w:val="24"/>
          <w:szCs w:val="24"/>
        </w:rPr>
      </w:pPr>
    </w:p>
    <w:p w14:paraId="5AEEE7E4" w14:textId="6ECE43D3" w:rsidR="00B667C5" w:rsidRPr="000D05C3" w:rsidRDefault="00B667C5" w:rsidP="00B667C5">
      <w:pPr>
        <w:ind w:left="720"/>
        <w:rPr>
          <w:rFonts w:eastAsia="Times New Roman"/>
          <w:b/>
          <w:bCs/>
          <w:sz w:val="24"/>
          <w:szCs w:val="24"/>
        </w:rPr>
      </w:pPr>
      <w:r w:rsidRPr="000D05C3">
        <w:rPr>
          <w:rFonts w:eastAsia="Times New Roman"/>
          <w:b/>
          <w:bCs/>
          <w:sz w:val="24"/>
          <w:szCs w:val="24"/>
        </w:rPr>
        <w:t>Applications involving SuDS</w:t>
      </w:r>
    </w:p>
    <w:p w14:paraId="7A0CE571" w14:textId="77777777" w:rsidR="00B667C5" w:rsidRPr="000D05C3" w:rsidRDefault="00B667C5" w:rsidP="00B667C5">
      <w:pPr>
        <w:ind w:left="720"/>
        <w:rPr>
          <w:rFonts w:eastAsia="Times New Roman"/>
          <w:b/>
          <w:bCs/>
          <w:sz w:val="24"/>
          <w:szCs w:val="24"/>
        </w:rPr>
      </w:pPr>
    </w:p>
    <w:p w14:paraId="5E41A8AC" w14:textId="0D8E859C" w:rsidR="00544B5E" w:rsidRDefault="00DC74FF" w:rsidP="005C023B">
      <w:pPr>
        <w:numPr>
          <w:ilvl w:val="0"/>
          <w:numId w:val="1"/>
        </w:numPr>
        <w:rPr>
          <w:rFonts w:eastAsia="Times New Roman"/>
          <w:sz w:val="24"/>
          <w:szCs w:val="24"/>
        </w:rPr>
      </w:pPr>
      <w:r>
        <w:rPr>
          <w:rFonts w:eastAsia="Times New Roman"/>
          <w:sz w:val="24"/>
          <w:szCs w:val="24"/>
        </w:rPr>
        <w:t xml:space="preserve">Despite </w:t>
      </w:r>
      <w:r w:rsidR="00415833">
        <w:rPr>
          <w:rFonts w:eastAsia="Times New Roman"/>
          <w:sz w:val="24"/>
          <w:szCs w:val="24"/>
        </w:rPr>
        <w:t>p</w:t>
      </w:r>
      <w:r w:rsidR="00324BB5">
        <w:rPr>
          <w:rFonts w:eastAsia="Times New Roman"/>
          <w:sz w:val="24"/>
          <w:szCs w:val="24"/>
        </w:rPr>
        <w:t xml:space="preserve">rinciple </w:t>
      </w:r>
      <w:r w:rsidR="005E188D">
        <w:rPr>
          <w:rFonts w:eastAsia="Times New Roman"/>
          <w:sz w:val="24"/>
          <w:szCs w:val="24"/>
        </w:rPr>
        <w:t>6</w:t>
      </w:r>
      <w:r w:rsidR="00415833">
        <w:rPr>
          <w:rFonts w:eastAsia="Times New Roman"/>
          <w:sz w:val="24"/>
          <w:szCs w:val="24"/>
        </w:rPr>
        <w:t>, a</w:t>
      </w:r>
      <w:r w:rsidR="00644E0F" w:rsidRPr="00732814">
        <w:rPr>
          <w:rFonts w:eastAsia="Times New Roman"/>
          <w:sz w:val="24"/>
          <w:szCs w:val="24"/>
        </w:rPr>
        <w:t>ll applications</w:t>
      </w:r>
      <w:r w:rsidR="00EE498F">
        <w:rPr>
          <w:rFonts w:eastAsia="Times New Roman"/>
          <w:sz w:val="24"/>
          <w:szCs w:val="24"/>
        </w:rPr>
        <w:t xml:space="preserve"> submitted after 31 March 2020</w:t>
      </w:r>
      <w:r w:rsidR="00644E0F" w:rsidRPr="00732814">
        <w:rPr>
          <w:rFonts w:eastAsia="Times New Roman"/>
          <w:sz w:val="24"/>
          <w:szCs w:val="24"/>
        </w:rPr>
        <w:t xml:space="preserve"> seeking adoption of a SuD</w:t>
      </w:r>
      <w:r w:rsidR="00732814">
        <w:rPr>
          <w:rFonts w:eastAsia="Times New Roman"/>
          <w:sz w:val="24"/>
          <w:szCs w:val="24"/>
        </w:rPr>
        <w:t>S</w:t>
      </w:r>
      <w:r w:rsidR="00644E0F" w:rsidRPr="00732814">
        <w:rPr>
          <w:rFonts w:eastAsia="Times New Roman"/>
          <w:sz w:val="24"/>
          <w:szCs w:val="24"/>
        </w:rPr>
        <w:t xml:space="preserve"> will need</w:t>
      </w:r>
      <w:r w:rsidR="00EE5A88">
        <w:rPr>
          <w:rFonts w:eastAsia="Times New Roman"/>
          <w:sz w:val="24"/>
          <w:szCs w:val="24"/>
        </w:rPr>
        <w:t xml:space="preserve"> </w:t>
      </w:r>
      <w:r w:rsidR="00644E0F" w:rsidRPr="00732814">
        <w:rPr>
          <w:rFonts w:eastAsia="Times New Roman"/>
          <w:sz w:val="24"/>
          <w:szCs w:val="24"/>
        </w:rPr>
        <w:t xml:space="preserve">to comply with the </w:t>
      </w:r>
      <w:r w:rsidR="00415D1A">
        <w:rPr>
          <w:rFonts w:eastAsia="Times New Roman"/>
          <w:sz w:val="24"/>
          <w:szCs w:val="24"/>
        </w:rPr>
        <w:t>DCG</w:t>
      </w:r>
      <w:r w:rsidR="00644E0F" w:rsidRPr="00732814">
        <w:rPr>
          <w:rFonts w:eastAsia="Times New Roman"/>
          <w:sz w:val="24"/>
          <w:szCs w:val="24"/>
        </w:rPr>
        <w:t xml:space="preserve">. </w:t>
      </w:r>
    </w:p>
    <w:p w14:paraId="6A108097" w14:textId="77777777" w:rsidR="007A2A5D" w:rsidRDefault="007A2A5D" w:rsidP="007A2A5D">
      <w:pPr>
        <w:ind w:left="720"/>
        <w:rPr>
          <w:rFonts w:eastAsia="Times New Roman"/>
          <w:sz w:val="24"/>
          <w:szCs w:val="24"/>
        </w:rPr>
      </w:pPr>
    </w:p>
    <w:p w14:paraId="52A60106" w14:textId="42D2C90C" w:rsidR="00644E0F" w:rsidRDefault="00701C41" w:rsidP="005C023B">
      <w:pPr>
        <w:numPr>
          <w:ilvl w:val="0"/>
          <w:numId w:val="1"/>
        </w:numPr>
        <w:rPr>
          <w:rFonts w:eastAsia="Times New Roman"/>
          <w:sz w:val="24"/>
          <w:szCs w:val="24"/>
        </w:rPr>
      </w:pPr>
      <w:r>
        <w:rPr>
          <w:rFonts w:eastAsia="Times New Roman"/>
          <w:sz w:val="24"/>
          <w:szCs w:val="24"/>
        </w:rPr>
        <w:t>W</w:t>
      </w:r>
      <w:r w:rsidR="00830216">
        <w:rPr>
          <w:rFonts w:eastAsia="Times New Roman"/>
          <w:sz w:val="24"/>
          <w:szCs w:val="24"/>
        </w:rPr>
        <w:t xml:space="preserve">here </w:t>
      </w:r>
      <w:r w:rsidR="009B09B9">
        <w:rPr>
          <w:rFonts w:eastAsia="Times New Roman"/>
          <w:sz w:val="24"/>
          <w:szCs w:val="24"/>
        </w:rPr>
        <w:t>applications before 31 March 2020 seek adoption of SuDS</w:t>
      </w:r>
      <w:r>
        <w:rPr>
          <w:rFonts w:eastAsia="Times New Roman"/>
          <w:sz w:val="24"/>
          <w:szCs w:val="24"/>
        </w:rPr>
        <w:t xml:space="preserve"> it will normally be advantageous to come to an agreement to </w:t>
      </w:r>
      <w:r w:rsidR="00F57296">
        <w:rPr>
          <w:rFonts w:eastAsia="Times New Roman"/>
          <w:sz w:val="24"/>
          <w:szCs w:val="24"/>
        </w:rPr>
        <w:t xml:space="preserve">follow the requirements of the </w:t>
      </w:r>
      <w:r w:rsidR="00415D1A">
        <w:rPr>
          <w:rFonts w:eastAsia="Times New Roman"/>
          <w:sz w:val="24"/>
          <w:szCs w:val="24"/>
        </w:rPr>
        <w:t>DC</w:t>
      </w:r>
      <w:r w:rsidR="00E874E4">
        <w:rPr>
          <w:rFonts w:eastAsia="Times New Roman"/>
          <w:sz w:val="24"/>
          <w:szCs w:val="24"/>
        </w:rPr>
        <w:t>G</w:t>
      </w:r>
      <w:r w:rsidR="009B09B9">
        <w:rPr>
          <w:rFonts w:eastAsia="Times New Roman"/>
          <w:sz w:val="24"/>
          <w:szCs w:val="24"/>
        </w:rPr>
        <w:t xml:space="preserve">.  </w:t>
      </w:r>
    </w:p>
    <w:p w14:paraId="1AACAED8" w14:textId="6DBC6457" w:rsidR="00B667C5" w:rsidRDefault="00B667C5" w:rsidP="00B667C5">
      <w:pPr>
        <w:rPr>
          <w:rFonts w:eastAsia="Times New Roman"/>
          <w:sz w:val="24"/>
          <w:szCs w:val="24"/>
        </w:rPr>
      </w:pPr>
    </w:p>
    <w:p w14:paraId="3357A9D2" w14:textId="393EDA31" w:rsidR="00B667C5" w:rsidRPr="000D05C3" w:rsidRDefault="00B667C5" w:rsidP="00B667C5">
      <w:pPr>
        <w:ind w:left="720"/>
        <w:rPr>
          <w:rFonts w:eastAsia="Times New Roman"/>
          <w:b/>
          <w:bCs/>
          <w:sz w:val="24"/>
          <w:szCs w:val="24"/>
        </w:rPr>
      </w:pPr>
      <w:r w:rsidRPr="000D05C3">
        <w:rPr>
          <w:rFonts w:eastAsia="Times New Roman"/>
          <w:b/>
          <w:bCs/>
          <w:sz w:val="24"/>
          <w:szCs w:val="24"/>
        </w:rPr>
        <w:t>Agreement follows standards</w:t>
      </w:r>
    </w:p>
    <w:p w14:paraId="2D68F93B" w14:textId="77777777" w:rsidR="00B667C5" w:rsidRPr="00732814" w:rsidRDefault="00B667C5" w:rsidP="00B667C5">
      <w:pPr>
        <w:rPr>
          <w:rFonts w:eastAsia="Times New Roman"/>
          <w:sz w:val="24"/>
          <w:szCs w:val="24"/>
        </w:rPr>
      </w:pPr>
    </w:p>
    <w:p w14:paraId="2BA01A7D" w14:textId="06BDA3F4" w:rsidR="00D33D05" w:rsidRPr="00732814" w:rsidRDefault="0A363ADD" w:rsidP="005C023B">
      <w:pPr>
        <w:numPr>
          <w:ilvl w:val="0"/>
          <w:numId w:val="1"/>
        </w:numPr>
        <w:rPr>
          <w:rFonts w:eastAsia="Times New Roman"/>
          <w:sz w:val="24"/>
          <w:szCs w:val="24"/>
        </w:rPr>
      </w:pPr>
      <w:r w:rsidRPr="0A363ADD">
        <w:rPr>
          <w:rFonts w:eastAsia="Times New Roman"/>
          <w:sz w:val="24"/>
          <w:szCs w:val="24"/>
        </w:rPr>
        <w:t xml:space="preserve">The agreement used will follow the standards in use on the scheme, </w:t>
      </w:r>
      <w:proofErr w:type="spellStart"/>
      <w:r w:rsidRPr="0A363ADD">
        <w:rPr>
          <w:rFonts w:eastAsia="Times New Roman"/>
          <w:sz w:val="24"/>
          <w:szCs w:val="24"/>
        </w:rPr>
        <w:t>ie</w:t>
      </w:r>
      <w:proofErr w:type="spellEnd"/>
      <w:r w:rsidRPr="0A363ADD">
        <w:rPr>
          <w:rFonts w:eastAsia="Times New Roman"/>
          <w:sz w:val="24"/>
          <w:szCs w:val="24"/>
        </w:rPr>
        <w:t>, DCG or Sewers for Adoption.</w:t>
      </w:r>
    </w:p>
    <w:p w14:paraId="7F82B4B2" w14:textId="13841DFD" w:rsidR="005D3AD1" w:rsidRPr="00732814" w:rsidRDefault="005D3AD1">
      <w:pPr>
        <w:rPr>
          <w:sz w:val="24"/>
          <w:szCs w:val="24"/>
        </w:rPr>
      </w:pPr>
    </w:p>
    <w:p w14:paraId="4E7F227D" w14:textId="2EF1F252" w:rsidR="000B3596" w:rsidRPr="00732814" w:rsidRDefault="000B3596">
      <w:pPr>
        <w:rPr>
          <w:sz w:val="24"/>
          <w:szCs w:val="24"/>
        </w:rPr>
      </w:pPr>
      <w:r w:rsidRPr="00732814">
        <w:rPr>
          <w:sz w:val="24"/>
          <w:szCs w:val="24"/>
        </w:rPr>
        <w:t>Water UK</w:t>
      </w:r>
    </w:p>
    <w:p w14:paraId="12EA04F1" w14:textId="056D81FE" w:rsidR="000B3596" w:rsidRPr="00732814" w:rsidRDefault="00DD2794">
      <w:pPr>
        <w:rPr>
          <w:sz w:val="24"/>
          <w:szCs w:val="24"/>
        </w:rPr>
      </w:pPr>
      <w:r>
        <w:rPr>
          <w:sz w:val="24"/>
          <w:szCs w:val="24"/>
        </w:rPr>
        <w:t>17</w:t>
      </w:r>
      <w:bookmarkStart w:id="0" w:name="_GoBack"/>
      <w:bookmarkEnd w:id="0"/>
      <w:r w:rsidR="006207D4">
        <w:rPr>
          <w:sz w:val="24"/>
          <w:szCs w:val="24"/>
        </w:rPr>
        <w:t xml:space="preserve"> </w:t>
      </w:r>
      <w:r w:rsidR="005D4714">
        <w:rPr>
          <w:sz w:val="24"/>
          <w:szCs w:val="24"/>
        </w:rPr>
        <w:t>February</w:t>
      </w:r>
      <w:r w:rsidR="000B3596" w:rsidRPr="00732814">
        <w:rPr>
          <w:sz w:val="24"/>
          <w:szCs w:val="24"/>
        </w:rPr>
        <w:t xml:space="preserve"> 2020</w:t>
      </w:r>
    </w:p>
    <w:sectPr w:rsidR="000B3596" w:rsidRPr="0073281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651EF3" w16cex:dateUtc="2020-02-12T16:12:42.504Z"/>
  <w16cex:commentExtensible w16cex:durableId="2AA32DD8" w16cex:dateUtc="2020-02-12T16:14:04.613Z"/>
  <w16cex:commentExtensible w16cex:durableId="7BA88C42" w16cex:dateUtc="2020-02-12T16:15:27.011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AA92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61994"/>
    <w:multiLevelType w:val="hybridMultilevel"/>
    <w:tmpl w:val="4672E866"/>
    <w:lvl w:ilvl="0" w:tplc="42483558">
      <w:start w:val="1"/>
      <w:numFmt w:val="decimal"/>
      <w:lvlText w:val="%1"/>
      <w:lvlJc w:val="left"/>
      <w:pPr>
        <w:tabs>
          <w:tab w:val="num" w:pos="720"/>
        </w:tabs>
        <w:ind w:left="720" w:hanging="360"/>
      </w:pPr>
      <w:rPr>
        <w:rFonts w:ascii="Calibri" w:eastAsia="Times New Roman" w:hAnsi="Calibri" w:cs="Calibri"/>
      </w:rPr>
    </w:lvl>
    <w:lvl w:ilvl="1" w:tplc="539843AA">
      <w:start w:val="1"/>
      <w:numFmt w:val="bullet"/>
      <w:lvlText w:val="•"/>
      <w:lvlJc w:val="left"/>
      <w:pPr>
        <w:tabs>
          <w:tab w:val="num" w:pos="1440"/>
        </w:tabs>
        <w:ind w:left="1440" w:hanging="360"/>
      </w:pPr>
      <w:rPr>
        <w:rFonts w:ascii="Arial" w:hAnsi="Arial" w:cs="Times New Roman" w:hint="default"/>
      </w:rPr>
    </w:lvl>
    <w:lvl w:ilvl="2" w:tplc="63F06D3A">
      <w:start w:val="1"/>
      <w:numFmt w:val="bullet"/>
      <w:lvlText w:val="•"/>
      <w:lvlJc w:val="left"/>
      <w:pPr>
        <w:tabs>
          <w:tab w:val="num" w:pos="2160"/>
        </w:tabs>
        <w:ind w:left="2160" w:hanging="360"/>
      </w:pPr>
      <w:rPr>
        <w:rFonts w:ascii="Arial" w:hAnsi="Arial" w:cs="Times New Roman" w:hint="default"/>
      </w:rPr>
    </w:lvl>
    <w:lvl w:ilvl="3" w:tplc="B6EE672E">
      <w:start w:val="1"/>
      <w:numFmt w:val="bullet"/>
      <w:lvlText w:val="•"/>
      <w:lvlJc w:val="left"/>
      <w:pPr>
        <w:tabs>
          <w:tab w:val="num" w:pos="2880"/>
        </w:tabs>
        <w:ind w:left="2880" w:hanging="360"/>
      </w:pPr>
      <w:rPr>
        <w:rFonts w:ascii="Arial" w:hAnsi="Arial" w:cs="Times New Roman" w:hint="default"/>
      </w:rPr>
    </w:lvl>
    <w:lvl w:ilvl="4" w:tplc="BFFA664E">
      <w:start w:val="1"/>
      <w:numFmt w:val="bullet"/>
      <w:lvlText w:val="•"/>
      <w:lvlJc w:val="left"/>
      <w:pPr>
        <w:tabs>
          <w:tab w:val="num" w:pos="3600"/>
        </w:tabs>
        <w:ind w:left="3600" w:hanging="360"/>
      </w:pPr>
      <w:rPr>
        <w:rFonts w:ascii="Arial" w:hAnsi="Arial" w:cs="Times New Roman" w:hint="default"/>
      </w:rPr>
    </w:lvl>
    <w:lvl w:ilvl="5" w:tplc="5EA450FE">
      <w:start w:val="1"/>
      <w:numFmt w:val="bullet"/>
      <w:lvlText w:val="•"/>
      <w:lvlJc w:val="left"/>
      <w:pPr>
        <w:tabs>
          <w:tab w:val="num" w:pos="4320"/>
        </w:tabs>
        <w:ind w:left="4320" w:hanging="360"/>
      </w:pPr>
      <w:rPr>
        <w:rFonts w:ascii="Arial" w:hAnsi="Arial" w:cs="Times New Roman" w:hint="default"/>
      </w:rPr>
    </w:lvl>
    <w:lvl w:ilvl="6" w:tplc="8F66E1F4">
      <w:start w:val="1"/>
      <w:numFmt w:val="bullet"/>
      <w:lvlText w:val="•"/>
      <w:lvlJc w:val="left"/>
      <w:pPr>
        <w:tabs>
          <w:tab w:val="num" w:pos="5040"/>
        </w:tabs>
        <w:ind w:left="5040" w:hanging="360"/>
      </w:pPr>
      <w:rPr>
        <w:rFonts w:ascii="Arial" w:hAnsi="Arial" w:cs="Times New Roman" w:hint="default"/>
      </w:rPr>
    </w:lvl>
    <w:lvl w:ilvl="7" w:tplc="E8162908">
      <w:start w:val="1"/>
      <w:numFmt w:val="bullet"/>
      <w:lvlText w:val="•"/>
      <w:lvlJc w:val="left"/>
      <w:pPr>
        <w:tabs>
          <w:tab w:val="num" w:pos="5760"/>
        </w:tabs>
        <w:ind w:left="5760" w:hanging="360"/>
      </w:pPr>
      <w:rPr>
        <w:rFonts w:ascii="Arial" w:hAnsi="Arial" w:cs="Times New Roman" w:hint="default"/>
      </w:rPr>
    </w:lvl>
    <w:lvl w:ilvl="8" w:tplc="8AE2A554">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1D3736E"/>
    <w:multiLevelType w:val="hybridMultilevel"/>
    <w:tmpl w:val="4672E866"/>
    <w:lvl w:ilvl="0" w:tplc="42483558">
      <w:start w:val="1"/>
      <w:numFmt w:val="decimal"/>
      <w:lvlText w:val="%1"/>
      <w:lvlJc w:val="left"/>
      <w:pPr>
        <w:tabs>
          <w:tab w:val="num" w:pos="720"/>
        </w:tabs>
        <w:ind w:left="720" w:hanging="360"/>
      </w:pPr>
      <w:rPr>
        <w:rFonts w:ascii="Calibri" w:eastAsia="Times New Roman" w:hAnsi="Calibri" w:cs="Calibri"/>
      </w:rPr>
    </w:lvl>
    <w:lvl w:ilvl="1" w:tplc="539843AA">
      <w:start w:val="1"/>
      <w:numFmt w:val="bullet"/>
      <w:lvlText w:val="•"/>
      <w:lvlJc w:val="left"/>
      <w:pPr>
        <w:tabs>
          <w:tab w:val="num" w:pos="1440"/>
        </w:tabs>
        <w:ind w:left="1440" w:hanging="360"/>
      </w:pPr>
      <w:rPr>
        <w:rFonts w:ascii="Arial" w:hAnsi="Arial" w:cs="Times New Roman" w:hint="default"/>
      </w:rPr>
    </w:lvl>
    <w:lvl w:ilvl="2" w:tplc="63F06D3A">
      <w:start w:val="1"/>
      <w:numFmt w:val="bullet"/>
      <w:lvlText w:val="•"/>
      <w:lvlJc w:val="left"/>
      <w:pPr>
        <w:tabs>
          <w:tab w:val="num" w:pos="2160"/>
        </w:tabs>
        <w:ind w:left="2160" w:hanging="360"/>
      </w:pPr>
      <w:rPr>
        <w:rFonts w:ascii="Arial" w:hAnsi="Arial" w:cs="Times New Roman" w:hint="default"/>
      </w:rPr>
    </w:lvl>
    <w:lvl w:ilvl="3" w:tplc="B6EE672E">
      <w:start w:val="1"/>
      <w:numFmt w:val="bullet"/>
      <w:lvlText w:val="•"/>
      <w:lvlJc w:val="left"/>
      <w:pPr>
        <w:tabs>
          <w:tab w:val="num" w:pos="2880"/>
        </w:tabs>
        <w:ind w:left="2880" w:hanging="360"/>
      </w:pPr>
      <w:rPr>
        <w:rFonts w:ascii="Arial" w:hAnsi="Arial" w:cs="Times New Roman" w:hint="default"/>
      </w:rPr>
    </w:lvl>
    <w:lvl w:ilvl="4" w:tplc="BFFA664E">
      <w:start w:val="1"/>
      <w:numFmt w:val="bullet"/>
      <w:lvlText w:val="•"/>
      <w:lvlJc w:val="left"/>
      <w:pPr>
        <w:tabs>
          <w:tab w:val="num" w:pos="3600"/>
        </w:tabs>
        <w:ind w:left="3600" w:hanging="360"/>
      </w:pPr>
      <w:rPr>
        <w:rFonts w:ascii="Arial" w:hAnsi="Arial" w:cs="Times New Roman" w:hint="default"/>
      </w:rPr>
    </w:lvl>
    <w:lvl w:ilvl="5" w:tplc="5EA450FE">
      <w:start w:val="1"/>
      <w:numFmt w:val="bullet"/>
      <w:lvlText w:val="•"/>
      <w:lvlJc w:val="left"/>
      <w:pPr>
        <w:tabs>
          <w:tab w:val="num" w:pos="4320"/>
        </w:tabs>
        <w:ind w:left="4320" w:hanging="360"/>
      </w:pPr>
      <w:rPr>
        <w:rFonts w:ascii="Arial" w:hAnsi="Arial" w:cs="Times New Roman" w:hint="default"/>
      </w:rPr>
    </w:lvl>
    <w:lvl w:ilvl="6" w:tplc="8F66E1F4">
      <w:start w:val="1"/>
      <w:numFmt w:val="bullet"/>
      <w:lvlText w:val="•"/>
      <w:lvlJc w:val="left"/>
      <w:pPr>
        <w:tabs>
          <w:tab w:val="num" w:pos="5040"/>
        </w:tabs>
        <w:ind w:left="5040" w:hanging="360"/>
      </w:pPr>
      <w:rPr>
        <w:rFonts w:ascii="Arial" w:hAnsi="Arial" w:cs="Times New Roman" w:hint="default"/>
      </w:rPr>
    </w:lvl>
    <w:lvl w:ilvl="7" w:tplc="E8162908">
      <w:start w:val="1"/>
      <w:numFmt w:val="bullet"/>
      <w:lvlText w:val="•"/>
      <w:lvlJc w:val="left"/>
      <w:pPr>
        <w:tabs>
          <w:tab w:val="num" w:pos="5760"/>
        </w:tabs>
        <w:ind w:left="5760" w:hanging="360"/>
      </w:pPr>
      <w:rPr>
        <w:rFonts w:ascii="Arial" w:hAnsi="Arial" w:cs="Times New Roman" w:hint="default"/>
      </w:rPr>
    </w:lvl>
    <w:lvl w:ilvl="8" w:tplc="8AE2A554">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0F"/>
    <w:rsid w:val="00035AD5"/>
    <w:rsid w:val="000408A9"/>
    <w:rsid w:val="000B24A4"/>
    <w:rsid w:val="000B3596"/>
    <w:rsid w:val="000D05C3"/>
    <w:rsid w:val="000D4DF8"/>
    <w:rsid w:val="00121C53"/>
    <w:rsid w:val="0017390E"/>
    <w:rsid w:val="00186983"/>
    <w:rsid w:val="00251E24"/>
    <w:rsid w:val="002D59FA"/>
    <w:rsid w:val="00324BB5"/>
    <w:rsid w:val="00394F86"/>
    <w:rsid w:val="003B1BB5"/>
    <w:rsid w:val="00415833"/>
    <w:rsid w:val="00415D1A"/>
    <w:rsid w:val="0042251A"/>
    <w:rsid w:val="00423CD9"/>
    <w:rsid w:val="00432E7C"/>
    <w:rsid w:val="004A22AA"/>
    <w:rsid w:val="004C0BB7"/>
    <w:rsid w:val="00537FA1"/>
    <w:rsid w:val="005407FC"/>
    <w:rsid w:val="00544B5E"/>
    <w:rsid w:val="005464DE"/>
    <w:rsid w:val="00557042"/>
    <w:rsid w:val="005B3814"/>
    <w:rsid w:val="005C023B"/>
    <w:rsid w:val="005D3AD1"/>
    <w:rsid w:val="005D4714"/>
    <w:rsid w:val="005E188D"/>
    <w:rsid w:val="005F2865"/>
    <w:rsid w:val="006207D4"/>
    <w:rsid w:val="00644E0F"/>
    <w:rsid w:val="00645BB5"/>
    <w:rsid w:val="00673239"/>
    <w:rsid w:val="006C226A"/>
    <w:rsid w:val="006C7B72"/>
    <w:rsid w:val="006E0994"/>
    <w:rsid w:val="00701C41"/>
    <w:rsid w:val="00704964"/>
    <w:rsid w:val="0072042E"/>
    <w:rsid w:val="00732814"/>
    <w:rsid w:val="007379F4"/>
    <w:rsid w:val="00761A0D"/>
    <w:rsid w:val="007810DC"/>
    <w:rsid w:val="007A2A5D"/>
    <w:rsid w:val="007A4399"/>
    <w:rsid w:val="007D636F"/>
    <w:rsid w:val="00830216"/>
    <w:rsid w:val="00866B89"/>
    <w:rsid w:val="00873E05"/>
    <w:rsid w:val="00941EC0"/>
    <w:rsid w:val="0096244E"/>
    <w:rsid w:val="009B09B9"/>
    <w:rsid w:val="009D7BC6"/>
    <w:rsid w:val="00A22816"/>
    <w:rsid w:val="00A748FB"/>
    <w:rsid w:val="00A839D2"/>
    <w:rsid w:val="00A85C7D"/>
    <w:rsid w:val="00B667C5"/>
    <w:rsid w:val="00B8211A"/>
    <w:rsid w:val="00B867CE"/>
    <w:rsid w:val="00BB46F6"/>
    <w:rsid w:val="00BE4EE6"/>
    <w:rsid w:val="00C04DB8"/>
    <w:rsid w:val="00C27854"/>
    <w:rsid w:val="00C844F0"/>
    <w:rsid w:val="00CA3393"/>
    <w:rsid w:val="00D33D05"/>
    <w:rsid w:val="00D63C33"/>
    <w:rsid w:val="00D63E18"/>
    <w:rsid w:val="00DC74FF"/>
    <w:rsid w:val="00DD2794"/>
    <w:rsid w:val="00DE3AA6"/>
    <w:rsid w:val="00E20DE5"/>
    <w:rsid w:val="00E40AA0"/>
    <w:rsid w:val="00E47E9A"/>
    <w:rsid w:val="00E51E90"/>
    <w:rsid w:val="00E53787"/>
    <w:rsid w:val="00E715DB"/>
    <w:rsid w:val="00E7174A"/>
    <w:rsid w:val="00E874E4"/>
    <w:rsid w:val="00EE498F"/>
    <w:rsid w:val="00EE5A88"/>
    <w:rsid w:val="00F363CA"/>
    <w:rsid w:val="00F5254D"/>
    <w:rsid w:val="00F57296"/>
    <w:rsid w:val="00FB5284"/>
    <w:rsid w:val="00FF3EE8"/>
    <w:rsid w:val="0A363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DE38"/>
  <w15:chartTrackingRefBased/>
  <w15:docId w15:val="{F0FE1F1B-D6A5-48C8-AA25-022F4EE9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4E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73E05"/>
    <w:pPr>
      <w:numPr>
        <w:numId w:val="2"/>
      </w:numPr>
      <w:contextualSpacing/>
    </w:pPr>
  </w:style>
  <w:style w:type="paragraph" w:styleId="ListParagraph">
    <w:name w:val="List Paragraph"/>
    <w:basedOn w:val="Normal"/>
    <w:uiPriority w:val="34"/>
    <w:qFormat/>
    <w:rsid w:val="00732814"/>
    <w:pPr>
      <w:ind w:left="720"/>
      <w:contextualSpacing/>
    </w:pPr>
  </w:style>
  <w:style w:type="character" w:styleId="Hyperlink">
    <w:name w:val="Hyperlink"/>
    <w:basedOn w:val="DefaultParagraphFont"/>
    <w:uiPriority w:val="99"/>
    <w:unhideWhenUsed/>
    <w:rsid w:val="00732814"/>
    <w:rPr>
      <w:color w:val="0563C1" w:themeColor="hyperlink"/>
      <w:u w:val="single"/>
    </w:rPr>
  </w:style>
  <w:style w:type="character" w:styleId="UnresolvedMention">
    <w:name w:val="Unresolved Mention"/>
    <w:basedOn w:val="DefaultParagraphFont"/>
    <w:uiPriority w:val="99"/>
    <w:semiHidden/>
    <w:unhideWhenUsed/>
    <w:rsid w:val="00732814"/>
    <w:rPr>
      <w:color w:val="605E5C"/>
      <w:shd w:val="clear" w:color="auto" w:fill="E1DFDD"/>
    </w:rPr>
  </w:style>
  <w:style w:type="paragraph" w:styleId="BalloonText">
    <w:name w:val="Balloon Text"/>
    <w:basedOn w:val="Normal"/>
    <w:link w:val="BalloonTextChar"/>
    <w:uiPriority w:val="99"/>
    <w:semiHidden/>
    <w:unhideWhenUsed/>
    <w:rsid w:val="00F52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54D"/>
    <w:rPr>
      <w:rFonts w:ascii="Segoe UI" w:hAnsi="Segoe UI" w:cs="Segoe UI"/>
      <w:sz w:val="18"/>
      <w:szCs w:val="18"/>
    </w:rPr>
  </w:style>
  <w:style w:type="character" w:styleId="CommentReference">
    <w:name w:val="annotation reference"/>
    <w:basedOn w:val="DefaultParagraphFont"/>
    <w:uiPriority w:val="99"/>
    <w:semiHidden/>
    <w:unhideWhenUsed/>
    <w:rsid w:val="0042251A"/>
    <w:rPr>
      <w:sz w:val="16"/>
      <w:szCs w:val="16"/>
    </w:rPr>
  </w:style>
  <w:style w:type="paragraph" w:styleId="CommentText">
    <w:name w:val="annotation text"/>
    <w:basedOn w:val="Normal"/>
    <w:link w:val="CommentTextChar"/>
    <w:uiPriority w:val="99"/>
    <w:semiHidden/>
    <w:unhideWhenUsed/>
    <w:rsid w:val="0042251A"/>
    <w:rPr>
      <w:sz w:val="20"/>
      <w:szCs w:val="20"/>
    </w:rPr>
  </w:style>
  <w:style w:type="character" w:customStyle="1" w:styleId="CommentTextChar">
    <w:name w:val="Comment Text Char"/>
    <w:basedOn w:val="DefaultParagraphFont"/>
    <w:link w:val="CommentText"/>
    <w:uiPriority w:val="99"/>
    <w:semiHidden/>
    <w:rsid w:val="0042251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251A"/>
    <w:rPr>
      <w:b/>
      <w:bCs/>
    </w:rPr>
  </w:style>
  <w:style w:type="character" w:customStyle="1" w:styleId="CommentSubjectChar">
    <w:name w:val="Comment Subject Char"/>
    <w:basedOn w:val="CommentTextChar"/>
    <w:link w:val="CommentSubject"/>
    <w:uiPriority w:val="99"/>
    <w:semiHidden/>
    <w:rsid w:val="0042251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org.uk/technical-guidance/developers-services/codes-for-adoption/" TargetMode="External"/><Relationship Id="rId3" Type="http://schemas.openxmlformats.org/officeDocument/2006/relationships/customXml" Target="../customXml/item3.xml"/><Relationship Id="Rc8349fd67f5a40ce"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2" ma:contentTypeDescription="Create a new document." ma:contentTypeScope="" ma:versionID="15c84d2c75635bcd0a87cb17c92aced3">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859595e314bd7a1c2b8f24e90185a167"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BCC84-3BF0-4D58-98BF-D12BF9C9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8AFA6-37B5-4B85-BF58-D8AD4EA7572B}">
  <ds:schemaRefs>
    <ds:schemaRef ds:uri="http://schemas.microsoft.com/sharepoint/v3/contenttype/forms"/>
  </ds:schemaRefs>
</ds:datastoreItem>
</file>

<file path=customXml/itemProps3.xml><?xml version="1.0" encoding="utf-8"?>
<ds:datastoreItem xmlns:ds="http://schemas.openxmlformats.org/officeDocument/2006/customXml" ds:itemID="{F482AD45-60C3-4E36-9FD9-E15FD4F4F5A7}">
  <ds:schemaRefs>
    <ds:schemaRef ds:uri="http://schemas.microsoft.com/office/2006/documentManagement/types"/>
    <ds:schemaRef ds:uri="http://purl.org/dc/terms/"/>
    <ds:schemaRef ds:uri="58984004-c345-43fc-a810-bf832f8dd127"/>
    <ds:schemaRef ds:uri="http://purl.org/dc/dcmitype/"/>
    <ds:schemaRef ds:uri="http://schemas.microsoft.com/office/infopath/2007/PartnerControls"/>
    <ds:schemaRef ds:uri="e46d493e-a427-496b-87f5-11b6cf1c67f8"/>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Strang</dc:creator>
  <cp:keywords/>
  <dc:description/>
  <cp:lastModifiedBy>David Strang</cp:lastModifiedBy>
  <cp:revision>2</cp:revision>
  <dcterms:created xsi:type="dcterms:W3CDTF">2020-02-17T13:35:00Z</dcterms:created>
  <dcterms:modified xsi:type="dcterms:W3CDTF">2020-02-17T13:35:00Z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ies>
</file>